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ACFF" w14:textId="77777777" w:rsidR="00DC4194" w:rsidRPr="00DC4194" w:rsidRDefault="00DC4194" w:rsidP="00DC4194">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DC4194">
        <w:rPr>
          <w:rFonts w:ascii="Verdana" w:eastAsia="Times New Roman" w:hAnsi="Verdana" w:cs="Times New Roman"/>
          <w:color w:val="CC3300"/>
          <w:kern w:val="36"/>
          <w:sz w:val="36"/>
          <w:szCs w:val="36"/>
          <w:lang w:eastAsia="fr-BE"/>
        </w:rPr>
        <w:t>Panorama des métaux mineurs : fermeté du molybdène</w:t>
      </w:r>
    </w:p>
    <w:p w14:paraId="0D12B5AE" w14:textId="77777777" w:rsidR="00DC4194" w:rsidRDefault="00DC4194" w:rsidP="00DC4194">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37C37ADB" w14:textId="3BE64C87" w:rsidR="00DC4194" w:rsidRPr="00DC4194" w:rsidRDefault="00DC4194" w:rsidP="00DC4194">
      <w:pPr>
        <w:shd w:val="clear" w:color="auto" w:fill="FFFFFF"/>
        <w:spacing w:before="75" w:after="75" w:line="240" w:lineRule="auto"/>
        <w:jc w:val="both"/>
        <w:rPr>
          <w:rFonts w:ascii="Verdana" w:eastAsia="Times New Roman" w:hAnsi="Verdana" w:cs="Times New Roman"/>
          <w:color w:val="000000"/>
          <w:sz w:val="23"/>
          <w:szCs w:val="23"/>
          <w:lang w:eastAsia="fr-BE"/>
        </w:rPr>
      </w:pPr>
      <w:r w:rsidRPr="00DC4194">
        <w:rPr>
          <w:rFonts w:ascii="Verdana" w:eastAsia="Times New Roman" w:hAnsi="Verdana" w:cs="Times New Roman"/>
          <w:b/>
          <w:bCs/>
          <w:color w:val="000000"/>
          <w:sz w:val="23"/>
          <w:szCs w:val="23"/>
          <w:lang w:eastAsia="fr-BE"/>
        </w:rPr>
        <w:t>Le molybdène continue de faire preuve de fermeté cette semaine, porté par les tensions sur l’approvisionnement. Du côté du cobalt, l’activité semble se redresser, et même si les perspectives restent floues, il semblerait que les cours aient touché leur plancher.</w:t>
      </w:r>
    </w:p>
    <w:p w14:paraId="614CF155" w14:textId="77777777" w:rsidR="00DC4194" w:rsidRPr="00DC4194" w:rsidRDefault="00DC4194" w:rsidP="00DC4194">
      <w:pPr>
        <w:shd w:val="clear" w:color="auto" w:fill="FFFFFF"/>
        <w:spacing w:before="75" w:after="75" w:line="240" w:lineRule="auto"/>
        <w:jc w:val="both"/>
        <w:rPr>
          <w:rFonts w:ascii="Verdana" w:eastAsia="Times New Roman" w:hAnsi="Verdana" w:cs="Times New Roman"/>
          <w:color w:val="000000"/>
          <w:sz w:val="23"/>
          <w:szCs w:val="23"/>
          <w:lang w:eastAsia="fr-BE"/>
        </w:rPr>
      </w:pPr>
      <w:r w:rsidRPr="00DC4194">
        <w:rPr>
          <w:rFonts w:ascii="Verdana" w:eastAsia="Times New Roman" w:hAnsi="Verdana" w:cs="Times New Roman"/>
          <w:color w:val="000000"/>
          <w:sz w:val="23"/>
          <w:szCs w:val="23"/>
          <w:lang w:eastAsia="fr-BE"/>
        </w:rPr>
        <w:t> </w:t>
      </w:r>
    </w:p>
    <w:p w14:paraId="5FD3388C" w14:textId="77777777" w:rsidR="00DC4194" w:rsidRPr="00DC4194" w:rsidRDefault="00DC4194" w:rsidP="00DC4194">
      <w:pPr>
        <w:shd w:val="clear" w:color="auto" w:fill="FFFFFF"/>
        <w:spacing w:before="75" w:after="75" w:line="240" w:lineRule="auto"/>
        <w:jc w:val="both"/>
        <w:rPr>
          <w:rFonts w:ascii="Verdana" w:eastAsia="Times New Roman" w:hAnsi="Verdana" w:cs="Times New Roman"/>
          <w:color w:val="000000"/>
          <w:sz w:val="23"/>
          <w:szCs w:val="23"/>
          <w:lang w:eastAsia="fr-BE"/>
        </w:rPr>
      </w:pPr>
      <w:r w:rsidRPr="00DC4194">
        <w:rPr>
          <w:rFonts w:ascii="Verdana" w:eastAsia="Times New Roman" w:hAnsi="Verdana" w:cs="Times New Roman"/>
          <w:b/>
          <w:bCs/>
          <w:color w:val="A52A2A"/>
          <w:sz w:val="23"/>
          <w:szCs w:val="23"/>
          <w:lang w:eastAsia="fr-BE"/>
        </w:rPr>
        <w:t>Cobalt : regain d’activité</w:t>
      </w:r>
    </w:p>
    <w:p w14:paraId="452D3790" w14:textId="77777777" w:rsidR="00DC4194" w:rsidRPr="00DC4194" w:rsidRDefault="00DC4194" w:rsidP="00DC4194">
      <w:pPr>
        <w:shd w:val="clear" w:color="auto" w:fill="FFFFFF"/>
        <w:spacing w:before="75" w:after="75" w:line="240" w:lineRule="auto"/>
        <w:jc w:val="both"/>
        <w:rPr>
          <w:rFonts w:ascii="Verdana" w:eastAsia="Times New Roman" w:hAnsi="Verdana" w:cs="Times New Roman"/>
          <w:color w:val="000000"/>
          <w:sz w:val="23"/>
          <w:szCs w:val="23"/>
          <w:lang w:eastAsia="fr-BE"/>
        </w:rPr>
      </w:pPr>
      <w:r w:rsidRPr="00DC4194">
        <w:rPr>
          <w:rFonts w:ascii="Verdana" w:eastAsia="Times New Roman" w:hAnsi="Verdana" w:cs="Times New Roman"/>
          <w:color w:val="000000"/>
          <w:sz w:val="23"/>
          <w:szCs w:val="23"/>
          <w:lang w:eastAsia="fr-BE"/>
        </w:rPr>
        <w:t>Le marché du cobalt est relativement actif actuellement, avec des transactions conclues de part et d’autre de la fourchette de cours de 19.80-20.60 $/lb pour le m</w:t>
      </w:r>
      <w:r w:rsidRPr="00DC4194">
        <w:rPr>
          <w:rFonts w:ascii="Verdana" w:eastAsia="Times New Roman" w:hAnsi="Verdana" w:cs="Times New Roman"/>
          <w:color w:val="000000"/>
          <w:sz w:val="23"/>
          <w:szCs w:val="23"/>
          <w:u w:val="single"/>
          <w:lang w:eastAsia="fr-BE"/>
        </w:rPr>
        <w:t>étal qualité standard</w:t>
      </w:r>
      <w:r w:rsidRPr="00DC4194">
        <w:rPr>
          <w:rFonts w:ascii="Verdana" w:eastAsia="Times New Roman" w:hAnsi="Verdana" w:cs="Times New Roman"/>
          <w:color w:val="000000"/>
          <w:sz w:val="23"/>
          <w:szCs w:val="23"/>
          <w:lang w:eastAsia="fr-BE"/>
        </w:rPr>
        <w:t>, départ </w:t>
      </w:r>
      <w:r w:rsidRPr="00DC4194">
        <w:rPr>
          <w:rFonts w:ascii="Verdana" w:eastAsia="Times New Roman" w:hAnsi="Verdana" w:cs="Times New Roman"/>
          <w:b/>
          <w:bCs/>
          <w:color w:val="000000"/>
          <w:sz w:val="23"/>
          <w:szCs w:val="23"/>
          <w:lang w:eastAsia="fr-BE"/>
        </w:rPr>
        <w:t>Rotterdam</w:t>
      </w:r>
      <w:r w:rsidRPr="00DC4194">
        <w:rPr>
          <w:rFonts w:ascii="Verdana" w:eastAsia="Times New Roman" w:hAnsi="Verdana" w:cs="Times New Roman"/>
          <w:color w:val="000000"/>
          <w:sz w:val="23"/>
          <w:szCs w:val="23"/>
          <w:lang w:eastAsia="fr-BE"/>
        </w:rPr>
        <w:t>. Pour l’heure, difficile de se projeter sur une tendance à court terme puisque les opérateurs ne semblent pas s’accorder sur la question. Les négociants sont toujours aux achats et les consommateurs se montrent également plus intéressés. « </w:t>
      </w:r>
      <w:r w:rsidRPr="00DC4194">
        <w:rPr>
          <w:rFonts w:ascii="Verdana" w:eastAsia="Times New Roman" w:hAnsi="Verdana" w:cs="Times New Roman"/>
          <w:i/>
          <w:iCs/>
          <w:color w:val="000000"/>
          <w:sz w:val="23"/>
          <w:szCs w:val="23"/>
          <w:lang w:eastAsia="fr-BE"/>
        </w:rPr>
        <w:t>Nous pourrions avoir touché le plancher</w:t>
      </w:r>
      <w:r w:rsidRPr="00DC4194">
        <w:rPr>
          <w:rFonts w:ascii="Verdana" w:eastAsia="Times New Roman" w:hAnsi="Verdana" w:cs="Times New Roman"/>
          <w:color w:val="000000"/>
          <w:sz w:val="23"/>
          <w:szCs w:val="23"/>
          <w:lang w:eastAsia="fr-BE"/>
        </w:rPr>
        <w:t> », a commenté un négociant, qui précise que les Chinois se montrent de plus en plus présents sur le marché.</w:t>
      </w:r>
    </w:p>
    <w:p w14:paraId="72B96DF2" w14:textId="77777777" w:rsidR="00DC4194" w:rsidRPr="00DC4194" w:rsidRDefault="00DC4194" w:rsidP="00DC4194">
      <w:pPr>
        <w:shd w:val="clear" w:color="auto" w:fill="FFFFFF"/>
        <w:spacing w:before="75" w:after="75" w:line="240" w:lineRule="auto"/>
        <w:jc w:val="both"/>
        <w:rPr>
          <w:rFonts w:ascii="Verdana" w:eastAsia="Times New Roman" w:hAnsi="Verdana" w:cs="Times New Roman"/>
          <w:color w:val="000000"/>
          <w:sz w:val="23"/>
          <w:szCs w:val="23"/>
          <w:lang w:eastAsia="fr-BE"/>
        </w:rPr>
      </w:pPr>
      <w:r w:rsidRPr="00DC4194">
        <w:rPr>
          <w:rFonts w:ascii="Verdana" w:eastAsia="Times New Roman" w:hAnsi="Verdana" w:cs="Times New Roman"/>
          <w:color w:val="000000"/>
          <w:sz w:val="23"/>
          <w:szCs w:val="23"/>
          <w:lang w:eastAsia="fr-BE"/>
        </w:rPr>
        <w:t> </w:t>
      </w:r>
    </w:p>
    <w:p w14:paraId="4EBBC690" w14:textId="77777777" w:rsidR="00DC4194" w:rsidRPr="00DC4194" w:rsidRDefault="00DC4194" w:rsidP="00DC4194">
      <w:pPr>
        <w:shd w:val="clear" w:color="auto" w:fill="FFFFFF"/>
        <w:spacing w:before="75" w:after="75" w:line="240" w:lineRule="auto"/>
        <w:jc w:val="both"/>
        <w:rPr>
          <w:rFonts w:ascii="Verdana" w:eastAsia="Times New Roman" w:hAnsi="Verdana" w:cs="Times New Roman"/>
          <w:color w:val="000000"/>
          <w:sz w:val="23"/>
          <w:szCs w:val="23"/>
          <w:lang w:eastAsia="fr-BE"/>
        </w:rPr>
      </w:pPr>
      <w:r w:rsidRPr="00DC4194">
        <w:rPr>
          <w:rFonts w:ascii="Verdana" w:eastAsia="Times New Roman" w:hAnsi="Verdana" w:cs="Times New Roman"/>
          <w:b/>
          <w:bCs/>
          <w:color w:val="A52A2A"/>
          <w:sz w:val="23"/>
          <w:szCs w:val="23"/>
          <w:lang w:eastAsia="fr-BE"/>
        </w:rPr>
        <w:t>Molybdène : forte hausse</w:t>
      </w:r>
    </w:p>
    <w:p w14:paraId="14BD60A6" w14:textId="77777777" w:rsidR="00DC4194" w:rsidRPr="00DC4194" w:rsidRDefault="00DC4194" w:rsidP="00DC4194">
      <w:pPr>
        <w:shd w:val="clear" w:color="auto" w:fill="FFFFFF"/>
        <w:spacing w:before="75" w:after="75" w:line="240" w:lineRule="auto"/>
        <w:jc w:val="both"/>
        <w:rPr>
          <w:rFonts w:ascii="Verdana" w:eastAsia="Times New Roman" w:hAnsi="Verdana" w:cs="Times New Roman"/>
          <w:color w:val="000000"/>
          <w:sz w:val="23"/>
          <w:szCs w:val="23"/>
          <w:lang w:eastAsia="fr-BE"/>
        </w:rPr>
      </w:pPr>
      <w:r w:rsidRPr="00DC4194">
        <w:rPr>
          <w:rFonts w:ascii="Verdana" w:eastAsia="Times New Roman" w:hAnsi="Verdana" w:cs="Times New Roman"/>
          <w:color w:val="000000"/>
          <w:sz w:val="23"/>
          <w:szCs w:val="23"/>
          <w:lang w:eastAsia="fr-BE"/>
        </w:rPr>
        <w:t xml:space="preserve">Les cours du </w:t>
      </w:r>
      <w:proofErr w:type="spellStart"/>
      <w:r w:rsidRPr="00DC4194">
        <w:rPr>
          <w:rFonts w:ascii="Verdana" w:eastAsia="Times New Roman" w:hAnsi="Verdana" w:cs="Times New Roman"/>
          <w:color w:val="000000"/>
          <w:sz w:val="23"/>
          <w:szCs w:val="23"/>
          <w:lang w:eastAsia="fr-BE"/>
        </w:rPr>
        <w:t>ferro-molybdène</w:t>
      </w:r>
      <w:proofErr w:type="spellEnd"/>
      <w:r w:rsidRPr="00DC4194">
        <w:rPr>
          <w:rFonts w:ascii="Verdana" w:eastAsia="Times New Roman" w:hAnsi="Verdana" w:cs="Times New Roman"/>
          <w:color w:val="000000"/>
          <w:sz w:val="23"/>
          <w:szCs w:val="23"/>
          <w:lang w:eastAsia="fr-BE"/>
        </w:rPr>
        <w:t xml:space="preserve"> ont continué de progresser ces derniers jours, sur fond de tensions sur les disponibilités immédiates à </w:t>
      </w:r>
      <w:r w:rsidRPr="00DC4194">
        <w:rPr>
          <w:rFonts w:ascii="Verdana" w:eastAsia="Times New Roman" w:hAnsi="Verdana" w:cs="Times New Roman"/>
          <w:b/>
          <w:bCs/>
          <w:color w:val="000000"/>
          <w:sz w:val="23"/>
          <w:szCs w:val="23"/>
          <w:lang w:eastAsia="fr-BE"/>
        </w:rPr>
        <w:t>Rotterdam</w:t>
      </w:r>
      <w:r w:rsidRPr="00DC4194">
        <w:rPr>
          <w:rFonts w:ascii="Verdana" w:eastAsia="Times New Roman" w:hAnsi="Verdana" w:cs="Times New Roman"/>
          <w:color w:val="000000"/>
          <w:sz w:val="23"/>
          <w:szCs w:val="23"/>
          <w:lang w:eastAsia="fr-BE"/>
        </w:rPr>
        <w:t>. Le marché est toutefois marqué par des achats de restockage prudents, portant sur des petits volumes, conséquence de la montée rapide des cours. Le </w:t>
      </w:r>
      <w:proofErr w:type="spellStart"/>
      <w:r w:rsidRPr="00DC4194">
        <w:rPr>
          <w:rFonts w:ascii="Verdana" w:eastAsia="Times New Roman" w:hAnsi="Verdana" w:cs="Times New Roman"/>
          <w:color w:val="000000"/>
          <w:sz w:val="23"/>
          <w:szCs w:val="23"/>
          <w:u w:val="single"/>
          <w:lang w:eastAsia="fr-BE"/>
        </w:rPr>
        <w:t>ferro-molybdène</w:t>
      </w:r>
      <w:proofErr w:type="spellEnd"/>
      <w:r w:rsidRPr="00DC4194">
        <w:rPr>
          <w:rFonts w:ascii="Verdana" w:eastAsia="Times New Roman" w:hAnsi="Verdana" w:cs="Times New Roman"/>
          <w:color w:val="000000"/>
          <w:sz w:val="23"/>
          <w:szCs w:val="23"/>
          <w:u w:val="single"/>
          <w:lang w:eastAsia="fr-BE"/>
        </w:rPr>
        <w:t xml:space="preserve"> 65 % Mo min</w:t>
      </w:r>
      <w:r w:rsidRPr="00DC4194">
        <w:rPr>
          <w:rFonts w:ascii="Verdana" w:eastAsia="Times New Roman" w:hAnsi="Verdana" w:cs="Times New Roman"/>
          <w:color w:val="000000"/>
          <w:sz w:val="23"/>
          <w:szCs w:val="23"/>
          <w:lang w:eastAsia="fr-BE"/>
        </w:rPr>
        <w:t>, départ Rotterdam, s’échange actuellement à 36-37.50 $/kg, en hausse de plus de 4 % comparativement à la semaine précédente. Du côté de l’</w:t>
      </w:r>
      <w:r w:rsidRPr="00DC4194">
        <w:rPr>
          <w:rFonts w:ascii="Verdana" w:eastAsia="Times New Roman" w:hAnsi="Verdana" w:cs="Times New Roman"/>
          <w:color w:val="000000"/>
          <w:sz w:val="23"/>
          <w:szCs w:val="23"/>
          <w:u w:val="single"/>
          <w:lang w:eastAsia="fr-BE"/>
        </w:rPr>
        <w:t>oxyde de molybdène 57 %</w:t>
      </w:r>
      <w:r w:rsidRPr="00DC4194">
        <w:rPr>
          <w:rFonts w:ascii="Verdana" w:eastAsia="Times New Roman" w:hAnsi="Verdana" w:cs="Times New Roman"/>
          <w:color w:val="000000"/>
          <w:sz w:val="23"/>
          <w:szCs w:val="23"/>
          <w:lang w:eastAsia="fr-BE"/>
        </w:rPr>
        <w:t>, la tendance haussière est encore plus marquée. Les craintes grandissantes concernant l’approvisionnement, combinées à la pénurie de containers, ont fait bondir les cours de près de 10 %, à 15-16 $/lb, pour du métal départ </w:t>
      </w:r>
      <w:r w:rsidRPr="00DC4194">
        <w:rPr>
          <w:rFonts w:ascii="Verdana" w:eastAsia="Times New Roman" w:hAnsi="Verdana" w:cs="Times New Roman"/>
          <w:b/>
          <w:bCs/>
          <w:color w:val="000000"/>
          <w:sz w:val="23"/>
          <w:szCs w:val="23"/>
          <w:lang w:eastAsia="fr-BE"/>
        </w:rPr>
        <w:t>Rotterdam</w:t>
      </w:r>
      <w:r w:rsidRPr="00DC4194">
        <w:rPr>
          <w:rFonts w:ascii="Verdana" w:eastAsia="Times New Roman" w:hAnsi="Verdana" w:cs="Times New Roman"/>
          <w:color w:val="000000"/>
          <w:sz w:val="23"/>
          <w:szCs w:val="23"/>
          <w:lang w:eastAsia="fr-BE"/>
        </w:rPr>
        <w:t>.</w:t>
      </w:r>
    </w:p>
    <w:p w14:paraId="400CCE67" w14:textId="77777777" w:rsidR="00FE0CBD" w:rsidRDefault="00FE0CBD"/>
    <w:sectPr w:rsidR="00FE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94"/>
    <w:rsid w:val="00DC4194"/>
    <w:rsid w:val="00FE0C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2320"/>
  <w15:chartTrackingRefBased/>
  <w15:docId w15:val="{6E87E365-296C-4678-ABB9-20ADC6CA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1420</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2021-06-08T06:19:00Z</dcterms:created>
  <dcterms:modified xsi:type="dcterms:W3CDTF">2021-06-08T06:19:00Z</dcterms:modified>
</cp:coreProperties>
</file>